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074" w:rsidRDefault="00037844" w:rsidP="00037844">
      <w:pPr>
        <w:jc w:val="center"/>
        <w:rPr>
          <w:b/>
          <w:sz w:val="36"/>
        </w:rPr>
      </w:pPr>
      <w:r w:rsidRPr="00037844">
        <w:rPr>
          <w:b/>
          <w:sz w:val="36"/>
        </w:rPr>
        <w:t xml:space="preserve">Actualité relative à la décision du Conseil Constitutionnel n°2022-1033 </w:t>
      </w:r>
    </w:p>
    <w:p w:rsidR="007D5E81" w:rsidRPr="00037844" w:rsidRDefault="00037844" w:rsidP="00037844">
      <w:pPr>
        <w:jc w:val="center"/>
        <w:rPr>
          <w:b/>
          <w:sz w:val="36"/>
        </w:rPr>
      </w:pPr>
      <w:r w:rsidRPr="00037844">
        <w:rPr>
          <w:b/>
          <w:sz w:val="36"/>
        </w:rPr>
        <w:t>(Q</w:t>
      </w:r>
      <w:r w:rsidR="00D73074">
        <w:rPr>
          <w:b/>
          <w:sz w:val="36"/>
        </w:rPr>
        <w:t xml:space="preserve">PC </w:t>
      </w:r>
      <w:r w:rsidRPr="00037844">
        <w:rPr>
          <w:b/>
          <w:sz w:val="36"/>
        </w:rPr>
        <w:t>du 27 janvier 2023)</w:t>
      </w:r>
    </w:p>
    <w:p w:rsidR="00037844" w:rsidRDefault="00037844"/>
    <w:p w:rsidR="00037844" w:rsidRDefault="00D73074">
      <w:r>
        <w:t xml:space="preserve">Le Conseil Constitutionnel a été saisi le 17 novembre dernier par le Conseil d’État (CE, 16 novembre 2022, n°467518) d’une question prioritaire de constitutionnalité (QPC). Cette question porte sur la conformité aux droits et libertés garantis par la Constitution du dernier alinéa du 6° du 1 de l’article 80 duodecies du </w:t>
      </w:r>
      <w:r w:rsidR="002E4767">
        <w:t>C</w:t>
      </w:r>
      <w:r>
        <w:t xml:space="preserve">ode général des impôts, dans sa rédaction résultant de la loi n°2019-1479 du 28 décembre 2019 de finances pour 2020. </w:t>
      </w:r>
    </w:p>
    <w:p w:rsidR="00D73074" w:rsidRDefault="00D73074">
      <w:r>
        <w:t xml:space="preserve">Cet article </w:t>
      </w:r>
      <w:r w:rsidRPr="00D73074">
        <w:rPr>
          <w:b/>
        </w:rPr>
        <w:t>exonère partiellement d’impôt sur le revenu les indemnités versées à un salarié à l’occasion de la rupture conventionnelle</w:t>
      </w:r>
      <w:r>
        <w:t xml:space="preserve"> de son contrat de travail. Le dernier alinéa de l’article précise que ce 6° est applicable aux indemnités spécifiques de rupture conventionnelle versées en application de la loi de transformation de la fonction publique. Les </w:t>
      </w:r>
      <w:r w:rsidRPr="00D73074">
        <w:rPr>
          <w:b/>
        </w:rPr>
        <w:t>agents publics bénéficiant d’une rupture conventionnelle voient ainsi leur indemnité exonérée d’impôt sur le revenu</w:t>
      </w:r>
      <w:r>
        <w:t xml:space="preserve">. </w:t>
      </w:r>
    </w:p>
    <w:p w:rsidR="00D73074" w:rsidRDefault="00D73074">
      <w:r>
        <w:t xml:space="preserve">La question </w:t>
      </w:r>
      <w:r w:rsidR="00DF194F">
        <w:t xml:space="preserve">posée au Conseil </w:t>
      </w:r>
      <w:r w:rsidR="002E4767">
        <w:t>c</w:t>
      </w:r>
      <w:r w:rsidR="00DF194F">
        <w:t xml:space="preserve">onstitutionnel soulevait une </w:t>
      </w:r>
      <w:r w:rsidR="00DF194F" w:rsidRPr="004C3B49">
        <w:rPr>
          <w:b/>
        </w:rPr>
        <w:t>méconnaissance des principes d’égalité devant la loi et devant les charges publiques entre les agents publics, ainsi qu’entre les agents publics et les salariés du privé</w:t>
      </w:r>
      <w:r w:rsidR="00DF194F">
        <w:t xml:space="preserve">. </w:t>
      </w:r>
      <w:r w:rsidR="004C3B49">
        <w:t xml:space="preserve">En effet, deux points étaient contestés : </w:t>
      </w:r>
    </w:p>
    <w:p w:rsidR="004C3B49" w:rsidRDefault="004C3B49" w:rsidP="004C3B49">
      <w:pPr>
        <w:pStyle w:val="Paragraphedeliste"/>
        <w:numPr>
          <w:ilvl w:val="0"/>
          <w:numId w:val="14"/>
        </w:numPr>
      </w:pPr>
      <w:r>
        <w:t xml:space="preserve">Le fait que cette exonération s’applique uniquement aux indemnités perçues par les agents à l’occasion d’une rupture de relation de travail par le biais d’une rupture conventionnelle. Une </w:t>
      </w:r>
      <w:r w:rsidRPr="00B552CE">
        <w:rPr>
          <w:b/>
        </w:rPr>
        <w:t>différence de traitement serait ainsi instituée entre les cessations de fonctions</w:t>
      </w:r>
      <w:r w:rsidR="00546DFD">
        <w:rPr>
          <w:b/>
        </w:rPr>
        <w:t xml:space="preserve"> des agents publics</w:t>
      </w:r>
      <w:r w:rsidR="00546DFD">
        <w:t xml:space="preserve"> en ce qu’elles résulte</w:t>
      </w:r>
      <w:r>
        <w:t>nt d’une rupture conventionnelle, ou d’un licenciement. Les indemnités de licenciement des agents publics ne font effectivement pas quant à elle</w:t>
      </w:r>
      <w:r w:rsidR="002E4767">
        <w:t>s</w:t>
      </w:r>
      <w:r>
        <w:t xml:space="preserve"> l’objet d’une exonération d’impôt sur le revenu. </w:t>
      </w:r>
    </w:p>
    <w:p w:rsidR="004C3B49" w:rsidRDefault="004C3B49" w:rsidP="004C3B49">
      <w:pPr>
        <w:pStyle w:val="Paragraphedeliste"/>
        <w:numPr>
          <w:ilvl w:val="0"/>
          <w:numId w:val="14"/>
        </w:numPr>
      </w:pPr>
      <w:r>
        <w:t xml:space="preserve">Le fait que les salariés du secteur privé bénéficient d’une exonération pour une indemnité perçue dans le cadre d’un licenciement, alors que les agents publics ne bénéficient pas </w:t>
      </w:r>
      <w:r w:rsidR="00546DFD">
        <w:t xml:space="preserve">de cette même exonération, impliquant </w:t>
      </w:r>
      <w:r w:rsidR="00546DFD" w:rsidRPr="00546DFD">
        <w:rPr>
          <w:b/>
        </w:rPr>
        <w:t>une différence de traitement entre agents publics et salariés privés pour un même type de cessation de fonctions</w:t>
      </w:r>
      <w:r w:rsidR="00546DFD">
        <w:t>.</w:t>
      </w:r>
    </w:p>
    <w:p w:rsidR="004C3B49" w:rsidRDefault="004C3B49" w:rsidP="004C3B49">
      <w:r>
        <w:t xml:space="preserve">Le Conseil Constitutionnel réfute les arguments avancés dans la QPC. </w:t>
      </w:r>
      <w:r w:rsidR="00763DE3">
        <w:t xml:space="preserve">Il lui oppose en effet les arguments suivants : </w:t>
      </w:r>
    </w:p>
    <w:p w:rsidR="00763DE3" w:rsidRDefault="00763DE3" w:rsidP="00763DE3">
      <w:pPr>
        <w:pStyle w:val="Paragraphedeliste"/>
        <w:numPr>
          <w:ilvl w:val="0"/>
          <w:numId w:val="14"/>
        </w:numPr>
      </w:pPr>
      <w:r>
        <w:t xml:space="preserve">Le principe d’égalité ne s’oppose pas à ce que le législateur règle de façon différente des situations différentes, ni à ce qu’il déroge à l’égalité pour des raisons d’intérêt général. Néanmoins, dans les deux hypothèses, la différence de traitement doit être en rapport direct avec l’objet de la loi qui l’établit. </w:t>
      </w:r>
    </w:p>
    <w:p w:rsidR="00763DE3" w:rsidRDefault="00763DE3" w:rsidP="00763DE3">
      <w:pPr>
        <w:pStyle w:val="Paragraphedeliste"/>
      </w:pPr>
      <w:r>
        <w:t xml:space="preserve">Le législateur a souhaité, en exonérant partiellement d’impôt sur le revenu les indemnités de rupture conventionnelle perçues par les agents publics, </w:t>
      </w:r>
      <w:r w:rsidRPr="00546DFD">
        <w:rPr>
          <w:b/>
        </w:rPr>
        <w:t>favoriser les reconversions professionnelles de ces agents vers le secteur privé</w:t>
      </w:r>
      <w:r>
        <w:t xml:space="preserve">. Ils ne sont ainsi pas placés dans la même situation que les agents faisant l’objet d’une décision de licenciement. </w:t>
      </w:r>
      <w:r w:rsidR="00D26769">
        <w:t xml:space="preserve">La </w:t>
      </w:r>
      <w:r w:rsidR="00D26769" w:rsidRPr="00546DFD">
        <w:rPr>
          <w:b/>
        </w:rPr>
        <w:t>différence de traitement est ainsi fondée sur une différence de situation</w:t>
      </w:r>
      <w:r w:rsidR="00D26769">
        <w:t xml:space="preserve">, et est en rapport avec l’objet de la loi. </w:t>
      </w:r>
    </w:p>
    <w:p w:rsidR="00B552CE" w:rsidRDefault="00B552CE" w:rsidP="00763DE3">
      <w:pPr>
        <w:pStyle w:val="Paragraphedeliste"/>
      </w:pPr>
    </w:p>
    <w:p w:rsidR="00763DE3" w:rsidRDefault="00D26769" w:rsidP="00763DE3">
      <w:pPr>
        <w:pStyle w:val="Paragraphedeliste"/>
        <w:numPr>
          <w:ilvl w:val="0"/>
          <w:numId w:val="14"/>
        </w:numPr>
      </w:pPr>
      <w:r>
        <w:lastRenderedPageBreak/>
        <w:t xml:space="preserve">Le législateur a défini les indemnités qui font l’objet d’une exonération, en raison de leur nature. Les </w:t>
      </w:r>
      <w:r w:rsidRPr="00546DFD">
        <w:rPr>
          <w:b/>
        </w:rPr>
        <w:t>salariés du secteur privé et les agents publics étant soumis à des régimes juridiques différents</w:t>
      </w:r>
      <w:r>
        <w:t xml:space="preserve">, le </w:t>
      </w:r>
      <w:r w:rsidRPr="00546DFD">
        <w:rPr>
          <w:b/>
        </w:rPr>
        <w:t>bénéfice de l’exonération d’impôt</w:t>
      </w:r>
      <w:r>
        <w:t xml:space="preserve"> sur le revenu réservé aux seules </w:t>
      </w:r>
      <w:r w:rsidRPr="00546DFD">
        <w:rPr>
          <w:b/>
        </w:rPr>
        <w:t xml:space="preserve">indemnités de licenciement du secteur privé </w:t>
      </w:r>
      <w:r w:rsidR="00B552CE" w:rsidRPr="00546DFD">
        <w:rPr>
          <w:b/>
        </w:rPr>
        <w:t>ne méconnait pas non plus le principe d’égalité</w:t>
      </w:r>
      <w:r w:rsidR="00B552CE">
        <w:t xml:space="preserve"> devant la loi. </w:t>
      </w:r>
    </w:p>
    <w:p w:rsidR="00B552CE" w:rsidRDefault="00B552CE" w:rsidP="00B552CE">
      <w:r>
        <w:t xml:space="preserve">Les </w:t>
      </w:r>
      <w:r w:rsidRPr="00B552CE">
        <w:rPr>
          <w:b/>
        </w:rPr>
        <w:t>dispositions ont donc été déclarées conformes à la Constitution</w:t>
      </w:r>
      <w:r>
        <w:t xml:space="preserve">. </w:t>
      </w:r>
    </w:p>
    <w:p w:rsidR="00B552CE" w:rsidRDefault="00B552CE" w:rsidP="00B552CE"/>
    <w:p w:rsidR="00B552CE" w:rsidRDefault="00B552CE" w:rsidP="00B552CE"/>
    <w:p w:rsidR="00B552CE" w:rsidRDefault="001D24CC" w:rsidP="00B552CE">
      <w:hyperlink r:id="rId5" w:history="1">
        <w:r w:rsidR="00B552CE" w:rsidRPr="00B552CE">
          <w:rPr>
            <w:rStyle w:val="Lienhypertexte"/>
          </w:rPr>
          <w:t>Décision n° 2022-1033 QPC du 27 janvier 2023</w:t>
        </w:r>
      </w:hyperlink>
    </w:p>
    <w:sectPr w:rsidR="00B5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iplex Sans O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B68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3D2853"/>
    <w:multiLevelType w:val="hybridMultilevel"/>
    <w:tmpl w:val="26E6C112"/>
    <w:lvl w:ilvl="0" w:tplc="55449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86707"/>
    <w:multiLevelType w:val="multilevel"/>
    <w:tmpl w:val="77CC642A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1E21A82"/>
    <w:multiLevelType w:val="hybridMultilevel"/>
    <w:tmpl w:val="5D4459F4"/>
    <w:lvl w:ilvl="0" w:tplc="3AF2D24A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2411A"/>
    <w:multiLevelType w:val="multilevel"/>
    <w:tmpl w:val="72A24B9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05975480">
    <w:abstractNumId w:val="2"/>
  </w:num>
  <w:num w:numId="2" w16cid:durableId="1338726058">
    <w:abstractNumId w:val="4"/>
  </w:num>
  <w:num w:numId="3" w16cid:durableId="1594171076">
    <w:abstractNumId w:val="4"/>
  </w:num>
  <w:num w:numId="4" w16cid:durableId="1218779400">
    <w:abstractNumId w:val="4"/>
  </w:num>
  <w:num w:numId="5" w16cid:durableId="937982537">
    <w:abstractNumId w:val="4"/>
  </w:num>
  <w:num w:numId="6" w16cid:durableId="1497576561">
    <w:abstractNumId w:val="4"/>
  </w:num>
  <w:num w:numId="7" w16cid:durableId="430781841">
    <w:abstractNumId w:val="4"/>
  </w:num>
  <w:num w:numId="8" w16cid:durableId="1968537590">
    <w:abstractNumId w:val="4"/>
  </w:num>
  <w:num w:numId="9" w16cid:durableId="1277174517">
    <w:abstractNumId w:val="4"/>
  </w:num>
  <w:num w:numId="10" w16cid:durableId="570653390">
    <w:abstractNumId w:val="4"/>
  </w:num>
  <w:num w:numId="11" w16cid:durableId="1053429847">
    <w:abstractNumId w:val="0"/>
  </w:num>
  <w:num w:numId="12" w16cid:durableId="484661649">
    <w:abstractNumId w:val="3"/>
  </w:num>
  <w:num w:numId="13" w16cid:durableId="618880312">
    <w:abstractNumId w:val="2"/>
  </w:num>
  <w:num w:numId="14" w16cid:durableId="169688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44"/>
    <w:rsid w:val="00037844"/>
    <w:rsid w:val="001D24CC"/>
    <w:rsid w:val="002845C0"/>
    <w:rsid w:val="002E4767"/>
    <w:rsid w:val="00331793"/>
    <w:rsid w:val="004C3B49"/>
    <w:rsid w:val="004F6AA4"/>
    <w:rsid w:val="00546DFD"/>
    <w:rsid w:val="00614B56"/>
    <w:rsid w:val="00763DE3"/>
    <w:rsid w:val="00824643"/>
    <w:rsid w:val="00B552CE"/>
    <w:rsid w:val="00B87053"/>
    <w:rsid w:val="00C949DA"/>
    <w:rsid w:val="00D2272F"/>
    <w:rsid w:val="00D26769"/>
    <w:rsid w:val="00D73074"/>
    <w:rsid w:val="00D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89CE-AD52-4945-932B-09BCED2E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053"/>
    <w:pPr>
      <w:spacing w:after="160" w:line="259" w:lineRule="auto"/>
    </w:pPr>
    <w:rPr>
      <w:rFonts w:ascii="Arial" w:hAnsi="Arial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2"/>
    <w:qFormat/>
    <w:rsid w:val="00B87053"/>
    <w:pPr>
      <w:keepNext/>
      <w:numPr>
        <w:numId w:val="10"/>
      </w:numPr>
      <w:pBdr>
        <w:top w:val="single" w:sz="18" w:space="1" w:color="auto"/>
        <w:bottom w:val="single" w:sz="18" w:space="1" w:color="auto"/>
      </w:pBdr>
      <w:spacing w:before="360" w:after="240" w:line="280" w:lineRule="atLeast"/>
      <w:outlineLvl w:val="0"/>
    </w:pPr>
    <w:rPr>
      <w:rFonts w:ascii="Triplex Sans OT" w:hAnsi="Triplex Sans OT" w:cs="Arial"/>
      <w:b/>
      <w:bCs/>
      <w:kern w:val="32"/>
      <w:sz w:val="36"/>
      <w:szCs w:val="32"/>
    </w:rPr>
  </w:style>
  <w:style w:type="paragraph" w:styleId="Titre2">
    <w:name w:val="heading 2"/>
    <w:basedOn w:val="Titre1"/>
    <w:next w:val="Normal"/>
    <w:link w:val="Titre2Car"/>
    <w:uiPriority w:val="2"/>
    <w:qFormat/>
    <w:rsid w:val="00B87053"/>
    <w:pPr>
      <w:numPr>
        <w:ilvl w:val="1"/>
      </w:numPr>
      <w:shd w:val="clear" w:color="auto" w:fill="000000"/>
      <w:spacing w:before="240"/>
      <w:outlineLvl w:val="1"/>
    </w:pPr>
    <w:rPr>
      <w:b w:val="0"/>
      <w:bCs w:val="0"/>
      <w:iCs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2"/>
    <w:qFormat/>
    <w:rsid w:val="00B87053"/>
    <w:pPr>
      <w:keepNext/>
      <w:numPr>
        <w:ilvl w:val="2"/>
        <w:numId w:val="10"/>
      </w:numPr>
      <w:pBdr>
        <w:bottom w:val="single" w:sz="8" w:space="1" w:color="auto"/>
      </w:pBdr>
      <w:spacing w:before="24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2"/>
    <w:qFormat/>
    <w:rsid w:val="00B87053"/>
    <w:pPr>
      <w:keepNext/>
      <w:numPr>
        <w:ilvl w:val="3"/>
        <w:numId w:val="10"/>
      </w:numPr>
      <w:spacing w:before="60" w:after="60" w:line="280" w:lineRule="atLeast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2"/>
    <w:qFormat/>
    <w:rsid w:val="00B87053"/>
    <w:pPr>
      <w:numPr>
        <w:ilvl w:val="4"/>
        <w:numId w:val="10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link w:val="Titre6Car"/>
    <w:semiHidden/>
    <w:qFormat/>
    <w:rsid w:val="00B87053"/>
    <w:pPr>
      <w:numPr>
        <w:ilvl w:val="5"/>
        <w:numId w:val="10"/>
      </w:numPr>
      <w:spacing w:before="60" w:after="60" w:line="280" w:lineRule="atLeast"/>
      <w:outlineLvl w:val="5"/>
    </w:pPr>
    <w:rPr>
      <w:bCs/>
    </w:rPr>
  </w:style>
  <w:style w:type="paragraph" w:styleId="Titre7">
    <w:name w:val="heading 7"/>
    <w:basedOn w:val="Normal"/>
    <w:next w:val="Normal"/>
    <w:link w:val="Titre7Car"/>
    <w:semiHidden/>
    <w:qFormat/>
    <w:rsid w:val="00B87053"/>
    <w:pPr>
      <w:numPr>
        <w:ilvl w:val="6"/>
        <w:numId w:val="10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B87053"/>
    <w:pPr>
      <w:numPr>
        <w:ilvl w:val="7"/>
        <w:numId w:val="10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link w:val="Titre9Car"/>
    <w:semiHidden/>
    <w:qFormat/>
    <w:rsid w:val="00B87053"/>
    <w:pPr>
      <w:numPr>
        <w:ilvl w:val="8"/>
        <w:numId w:val="10"/>
      </w:numPr>
      <w:spacing w:before="60" w:after="60" w:line="280" w:lineRule="atLeast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uiPriority w:val="2"/>
    <w:qFormat/>
    <w:rsid w:val="00B87053"/>
    <w:pPr>
      <w:numPr>
        <w:numId w:val="13"/>
      </w:numPr>
      <w:spacing w:after="220"/>
    </w:pPr>
  </w:style>
  <w:style w:type="character" w:customStyle="1" w:styleId="Titre1Car">
    <w:name w:val="Titre 1 Car"/>
    <w:basedOn w:val="Policepardfaut"/>
    <w:link w:val="Titre1"/>
    <w:uiPriority w:val="2"/>
    <w:rsid w:val="00B87053"/>
    <w:rPr>
      <w:rFonts w:ascii="Triplex Sans OT" w:hAnsi="Triplex Sans OT" w:cs="Arial"/>
      <w:b/>
      <w:bCs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2"/>
    <w:rsid w:val="00B87053"/>
    <w:rPr>
      <w:rFonts w:ascii="Triplex Sans OT" w:hAnsi="Triplex Sans OT" w:cs="Arial"/>
      <w:iCs/>
      <w:kern w:val="32"/>
      <w:sz w:val="32"/>
      <w:szCs w:val="28"/>
      <w:shd w:val="clear" w:color="auto" w:fill="000000"/>
    </w:rPr>
  </w:style>
  <w:style w:type="character" w:customStyle="1" w:styleId="Titre3Car">
    <w:name w:val="Titre 3 Car"/>
    <w:basedOn w:val="Policepardfaut"/>
    <w:link w:val="Titre3"/>
    <w:uiPriority w:val="2"/>
    <w:rsid w:val="00B87053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2"/>
    <w:rsid w:val="00B87053"/>
    <w:rPr>
      <w:rFonts w:ascii="Arial" w:hAnsi="Arial" w:cstheme="minorBidi"/>
      <w:bCs/>
      <w:i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2"/>
    <w:rsid w:val="00B87053"/>
    <w:rPr>
      <w:rFonts w:ascii="Arial" w:hAnsi="Arial" w:cstheme="minorBidi"/>
      <w:bCs/>
      <w:iCs/>
      <w:sz w:val="24"/>
      <w:szCs w:val="26"/>
    </w:rPr>
  </w:style>
  <w:style w:type="character" w:customStyle="1" w:styleId="Titre6Car">
    <w:name w:val="Titre 6 Car"/>
    <w:basedOn w:val="Policepardfaut"/>
    <w:link w:val="Titre6"/>
    <w:semiHidden/>
    <w:rsid w:val="00B87053"/>
    <w:rPr>
      <w:rFonts w:ascii="Arial" w:hAnsi="Arial" w:cstheme="minorBidi"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B87053"/>
    <w:rPr>
      <w:rFonts w:ascii="Arial" w:hAnsi="Arial" w:cstheme="minorBidi"/>
      <w:sz w:val="22"/>
      <w:szCs w:val="22"/>
    </w:rPr>
  </w:style>
  <w:style w:type="character" w:customStyle="1" w:styleId="Titre8Car">
    <w:name w:val="Titre 8 Car"/>
    <w:basedOn w:val="Policepardfaut"/>
    <w:link w:val="Titre8"/>
    <w:semiHidden/>
    <w:rsid w:val="00B87053"/>
    <w:rPr>
      <w:rFonts w:ascii="Arial" w:hAnsi="Arial" w:cstheme="minorBidi"/>
      <w:iCs/>
      <w:sz w:val="22"/>
      <w:szCs w:val="22"/>
    </w:rPr>
  </w:style>
  <w:style w:type="character" w:customStyle="1" w:styleId="Titre9Car">
    <w:name w:val="Titre 9 Car"/>
    <w:basedOn w:val="Policepardfaut"/>
    <w:link w:val="Titre9"/>
    <w:semiHidden/>
    <w:rsid w:val="00B87053"/>
    <w:rPr>
      <w:rFonts w:ascii="Arial" w:hAnsi="Arial" w:cs="Arial"/>
      <w:sz w:val="22"/>
      <w:szCs w:val="22"/>
    </w:rPr>
  </w:style>
  <w:style w:type="paragraph" w:styleId="Listepuces">
    <w:name w:val="List Bullet"/>
    <w:basedOn w:val="Normal"/>
    <w:uiPriority w:val="1"/>
    <w:qFormat/>
    <w:rsid w:val="00B87053"/>
    <w:pPr>
      <w:numPr>
        <w:numId w:val="12"/>
      </w:numPr>
    </w:pPr>
  </w:style>
  <w:style w:type="paragraph" w:styleId="Paragraphedeliste">
    <w:name w:val="List Paragraph"/>
    <w:basedOn w:val="Normal"/>
    <w:uiPriority w:val="34"/>
    <w:qFormat/>
    <w:rsid w:val="00B87053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qFormat/>
    <w:rsid w:val="00B87053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240" w:after="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character" w:styleId="Lienhypertexte">
    <w:name w:val="Hyperlink"/>
    <w:basedOn w:val="Policepardfaut"/>
    <w:uiPriority w:val="99"/>
    <w:unhideWhenUsed/>
    <w:rsid w:val="00B552C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1793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D24CC"/>
    <w:rPr>
      <w:rFonts w:ascii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eil-constitutionnel.fr/decision/2023/20221033QP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cdg69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LOUBECHINE Nadège</dc:creator>
  <cp:keywords/>
  <dc:description/>
  <cp:lastModifiedBy>CDG Allier</cp:lastModifiedBy>
  <cp:revision>2</cp:revision>
  <dcterms:created xsi:type="dcterms:W3CDTF">2023-03-08T09:54:00Z</dcterms:created>
  <dcterms:modified xsi:type="dcterms:W3CDTF">2023-03-08T09:54:00Z</dcterms:modified>
</cp:coreProperties>
</file>